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4760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bookmarkStart w:id="0" w:name="_Toc322617222"/>
      <w:r>
        <w:rPr>
          <w:rFonts w:ascii="Times New Roman" w:eastAsia="楷体" w:hAnsi="Times New Roman"/>
          <w:b/>
          <w:smallCaps w:val="0"/>
          <w:sz w:val="28"/>
          <w:szCs w:val="28"/>
        </w:rPr>
        <w:t>（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071001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）</w:t>
      </w:r>
      <w:bookmarkEnd w:id="0"/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植物学</w:t>
      </w:r>
      <w:r>
        <w:rPr>
          <w:rFonts w:ascii="Times New Roman" w:eastAsia="楷体" w:hAnsi="Times New Roman"/>
          <w:b/>
          <w:sz w:val="28"/>
          <w:szCs w:val="28"/>
        </w:rPr>
        <w:t>（全日制）</w:t>
      </w:r>
    </w:p>
    <w:p w:rsidR="00854760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z w:val="28"/>
          <w:szCs w:val="28"/>
        </w:rPr>
        <w:t>（学制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3</w:t>
      </w:r>
      <w:r>
        <w:rPr>
          <w:rFonts w:ascii="Times New Roman" w:eastAsia="楷体" w:hAnsi="Times New Roman"/>
          <w:b/>
          <w:sz w:val="28"/>
          <w:szCs w:val="28"/>
        </w:rPr>
        <w:t>年，授予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理学</w:t>
      </w:r>
      <w:r>
        <w:rPr>
          <w:rFonts w:ascii="Times New Roman" w:eastAsia="楷体" w:hAnsi="Times New Roman"/>
          <w:b/>
          <w:sz w:val="28"/>
          <w:szCs w:val="28"/>
        </w:rPr>
        <w:t>硕士学位）</w:t>
      </w:r>
    </w:p>
    <w:p w:rsidR="00854760" w:rsidRDefault="00000000">
      <w:pPr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:rsidR="00854760" w:rsidRDefault="0000000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培养德、智、体全面发展的，积极为社会主义现代化建设服务的植物学高级专门人才。要求学生能够坚持正确的政治方向、热爱祖国、遵纪守法；身心健康、品德良好；团结合作、严谨求实、勇于创新。</w:t>
      </w:r>
    </w:p>
    <w:p w:rsidR="00854760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掌握本学科及相关学科的基础理论知识和比较系统深入的专业知识，能熟练运用至少一门外国语，了解学科发展的前沿和趋势，熟练掌握本领域科学研究的基本技能和方法，具有独立从事科学研究或独立担负专门技术工作的能力。</w:t>
      </w:r>
    </w:p>
    <w:p w:rsidR="00854760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  <w:r>
        <w:rPr>
          <w:rFonts w:ascii="Times New Roman" w:hAnsi="Times New Roman"/>
          <w:b/>
          <w:szCs w:val="21"/>
          <w:lang w:eastAsia="zh-CN"/>
        </w:rPr>
        <w:t xml:space="preserve">  </w:t>
      </w:r>
    </w:p>
    <w:p w:rsidR="00854760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 xml:space="preserve">1. </w:t>
      </w:r>
      <w:r>
        <w:rPr>
          <w:rFonts w:ascii="Times New Roman" w:hAnsi="Times New Roman" w:cs="Times New Roman"/>
          <w:color w:val="auto"/>
          <w:lang w:eastAsia="zh-CN"/>
        </w:rPr>
        <w:t>植物生理与分子生物学</w:t>
      </w:r>
    </w:p>
    <w:p w:rsidR="00854760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 xml:space="preserve">2. </w:t>
      </w:r>
      <w:r>
        <w:rPr>
          <w:rFonts w:ascii="Times New Roman" w:hAnsi="Times New Roman" w:cs="Times New Roman"/>
          <w:color w:val="auto"/>
          <w:lang w:eastAsia="zh-CN"/>
        </w:rPr>
        <w:t>植物分子生物学与生物技术</w:t>
      </w:r>
    </w:p>
    <w:p w:rsidR="00854760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 xml:space="preserve">3. </w:t>
      </w:r>
      <w:r>
        <w:rPr>
          <w:rFonts w:ascii="Times New Roman" w:hAnsi="Times New Roman" w:cs="Times New Roman"/>
          <w:color w:val="auto"/>
          <w:lang w:eastAsia="zh-CN"/>
        </w:rPr>
        <w:t>环境与资源植物学</w:t>
      </w:r>
    </w:p>
    <w:p w:rsidR="00854760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 xml:space="preserve">4. </w:t>
      </w:r>
      <w:r>
        <w:rPr>
          <w:rFonts w:ascii="Times New Roman" w:hAnsi="Times New Roman" w:cs="Times New Roman"/>
          <w:color w:val="auto"/>
          <w:lang w:eastAsia="zh-CN"/>
        </w:rPr>
        <w:t>植物生理生态学</w:t>
      </w:r>
    </w:p>
    <w:p w:rsidR="00854760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 xml:space="preserve">5. </w:t>
      </w:r>
      <w:r>
        <w:rPr>
          <w:rFonts w:ascii="Times New Roman" w:hAnsi="Times New Roman" w:cs="Times New Roman"/>
          <w:color w:val="auto"/>
          <w:lang w:eastAsia="zh-CN"/>
        </w:rPr>
        <w:t>植物群落生态学</w:t>
      </w:r>
    </w:p>
    <w:p w:rsidR="00854760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:rsidR="00854760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</w:t>
      </w:r>
      <w:r>
        <w:rPr>
          <w:rStyle w:val="a8"/>
          <w:rFonts w:ascii="Times New Roman" w:hAnsi="Times New Roman" w:cs="Times New Roman"/>
          <w:color w:val="auto"/>
          <w:lang w:eastAsia="zh-CN"/>
        </w:rPr>
        <w:t>士研究生培养实行导师负责制，在培养过程中注意充分发挥研究生的主动性和自觉性，可采用研讨式</w:t>
      </w:r>
      <w:r>
        <w:rPr>
          <w:rFonts w:ascii="Times New Roman" w:hAnsi="Times New Roman"/>
          <w:szCs w:val="21"/>
          <w:lang w:eastAsia="zh-CN"/>
        </w:rPr>
        <w:t>的教学方式</w:t>
      </w:r>
      <w:r>
        <w:rPr>
          <w:rFonts w:ascii="Times New Roman" w:hAnsi="Times New Roman" w:hint="eastAsia"/>
          <w:szCs w:val="21"/>
          <w:lang w:eastAsia="zh-CN"/>
        </w:rPr>
        <w:t>。</w:t>
      </w:r>
    </w:p>
    <w:p w:rsidR="00854760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:rsidR="00854760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本专业硕士研究生学制为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年，最长修业年限为基本修业年限延长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年。</w:t>
      </w:r>
    </w:p>
    <w:p w:rsidR="00854760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:rsidR="00854760" w:rsidRDefault="00000000">
      <w:pPr>
        <w:pStyle w:val="4"/>
        <w:spacing w:before="240" w:after="12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W w:w="93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3"/>
        <w:gridCol w:w="1334"/>
        <w:gridCol w:w="1530"/>
        <w:gridCol w:w="1256"/>
        <w:gridCol w:w="649"/>
        <w:gridCol w:w="363"/>
        <w:gridCol w:w="82"/>
        <w:gridCol w:w="643"/>
        <w:gridCol w:w="1058"/>
        <w:gridCol w:w="487"/>
        <w:gridCol w:w="1416"/>
      </w:tblGrid>
      <w:tr w:rsidR="00854760">
        <w:trPr>
          <w:jc w:val="center"/>
        </w:trPr>
        <w:tc>
          <w:tcPr>
            <w:tcW w:w="5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类</w:t>
            </w: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别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课程编码</w:t>
            </w:r>
          </w:p>
        </w:tc>
        <w:tc>
          <w:tcPr>
            <w:tcW w:w="278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课程名称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总</w:t>
            </w: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学</w:t>
            </w: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时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学</w:t>
            </w: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分</w:t>
            </w:r>
          </w:p>
        </w:tc>
        <w:tc>
          <w:tcPr>
            <w:tcW w:w="7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授课</w:t>
            </w: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学期</w:t>
            </w: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授课方式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开课</w:t>
            </w: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单位</w:t>
            </w: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代码</w:t>
            </w:r>
          </w:p>
        </w:tc>
      </w:tr>
      <w:tr w:rsidR="00854760">
        <w:trPr>
          <w:jc w:val="center"/>
        </w:trPr>
        <w:tc>
          <w:tcPr>
            <w:tcW w:w="523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lastRenderedPageBreak/>
              <w:t>必</w:t>
            </w:r>
          </w:p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修</w:t>
            </w:r>
          </w:p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课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新时代中国特色社会主义理论与实践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90021204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自然辩证法概论（理科）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spacing w:line="240" w:lineRule="auto"/>
              <w:ind w:firstLineChars="100" w:firstLine="22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90021101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30010001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综合体育测试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必修环节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</w:t>
            </w:r>
          </w:p>
        </w:tc>
      </w:tr>
      <w:tr w:rsidR="00854760">
        <w:trPr>
          <w:trHeight w:val="284"/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06022271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研究生学术论文写作指导（硕士）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06021202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文献综述与开题报告</w:t>
            </w:r>
            <w:proofErr w:type="spellEnd"/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报告与讨论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06021203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生物科学与技术前沿进展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讲授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06021204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现代生物学技术</w:t>
            </w:r>
            <w:proofErr w:type="spellEnd"/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102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实验讲授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06021205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植物科学前沿进展</w:t>
            </w: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讲授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06021206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植物科学前沿进展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讲授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szCs w:val="21"/>
                <w:lang w:eastAsia="zh-CN"/>
              </w:rPr>
              <w:t>602227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4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生物实验安全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7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lang w:eastAsia="zh-CN"/>
              </w:rPr>
              <w:t>60</w:t>
            </w:r>
          </w:p>
        </w:tc>
      </w:tr>
      <w:tr w:rsidR="00854760">
        <w:trPr>
          <w:jc w:val="center"/>
        </w:trPr>
        <w:tc>
          <w:tcPr>
            <w:tcW w:w="52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选</w:t>
            </w:r>
          </w:p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</w:p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修</w:t>
            </w:r>
          </w:p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</w:p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</w:p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lang w:eastAsia="zh-CN"/>
              </w:rPr>
              <w:t>课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第二外国语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体育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90052003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人工智能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06021216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生物统计与数据分析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06022201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植物生物化学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讲授讨论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06022202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植物分子生物学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讲授讨论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06022203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植物资源分类学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讲授与实践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06022205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植物激素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06022206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种群生态学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06022207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城市生态学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06022208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恢复生态学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06022209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植物矿质营养与抗性生理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06022210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植物生理生态学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06022212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全球生态学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讲授讨论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06022258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教学实习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240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实习实践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06022259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17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讲授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</w:t>
            </w:r>
          </w:p>
        </w:tc>
      </w:tr>
      <w:tr w:rsidR="00854760">
        <w:trPr>
          <w:jc w:val="center"/>
        </w:trPr>
        <w:tc>
          <w:tcPr>
            <w:tcW w:w="52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4760" w:rsidRDefault="008547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研究生学术与职业素养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讲授与讨论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854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9341" w:type="dxa"/>
            <w:gridSpan w:val="11"/>
            <w:tcBorders>
              <w:left w:val="single" w:sz="12" w:space="0" w:color="auto"/>
              <w:right w:val="single" w:sz="12" w:space="0" w:color="auto"/>
            </w:tcBorders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kern w:val="2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kern w:val="2"/>
                <w:lang w:eastAsia="zh-CN"/>
              </w:rPr>
              <w:t>本专业毕业学分要求</w:t>
            </w:r>
          </w:p>
        </w:tc>
      </w:tr>
      <w:tr w:rsidR="00854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1857" w:type="dxa"/>
            <w:gridSpan w:val="2"/>
            <w:tcBorders>
              <w:lef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总学分要求</w:t>
            </w:r>
          </w:p>
        </w:tc>
        <w:tc>
          <w:tcPr>
            <w:tcW w:w="1530" w:type="dxa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校公共必修课</w:t>
            </w:r>
          </w:p>
        </w:tc>
        <w:tc>
          <w:tcPr>
            <w:tcW w:w="2350" w:type="dxa"/>
            <w:gridSpan w:val="4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专业必修课</w:t>
            </w:r>
          </w:p>
        </w:tc>
        <w:tc>
          <w:tcPr>
            <w:tcW w:w="1701" w:type="dxa"/>
            <w:gridSpan w:val="2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专业选修课</w:t>
            </w:r>
          </w:p>
        </w:tc>
        <w:tc>
          <w:tcPr>
            <w:tcW w:w="1903" w:type="dxa"/>
            <w:gridSpan w:val="2"/>
            <w:tcBorders>
              <w:right w:val="single" w:sz="12" w:space="0" w:color="auto"/>
            </w:tcBorders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培养方案外课程</w:t>
            </w:r>
          </w:p>
        </w:tc>
      </w:tr>
      <w:tr w:rsidR="00854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185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3</w:t>
            </w:r>
          </w:p>
        </w:tc>
        <w:tc>
          <w:tcPr>
            <w:tcW w:w="1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7</w:t>
            </w:r>
          </w:p>
        </w:tc>
        <w:tc>
          <w:tcPr>
            <w:tcW w:w="2350" w:type="dxa"/>
            <w:gridSpan w:val="4"/>
            <w:tcBorders>
              <w:bottom w:val="single" w:sz="12" w:space="0" w:color="auto"/>
            </w:tcBorders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3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13</w:t>
            </w:r>
          </w:p>
        </w:tc>
        <w:tc>
          <w:tcPr>
            <w:tcW w:w="1903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4760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:rsidR="00854760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</w:t>
      </w:r>
      <w:r>
        <w:rPr>
          <w:rFonts w:ascii="Times New Roman" w:hAnsi="Times New Roman"/>
          <w:bCs/>
          <w:szCs w:val="21"/>
          <w:lang w:eastAsia="zh-CN"/>
        </w:rPr>
        <w:t>2</w:t>
      </w:r>
      <w:r>
        <w:rPr>
          <w:rFonts w:ascii="Times New Roman" w:hAnsi="Times New Roman"/>
          <w:bCs/>
          <w:szCs w:val="21"/>
          <w:lang w:eastAsia="zh-CN"/>
        </w:rPr>
        <w:t>学分），不计入研究生完成课程学习所取得的总学分。</w:t>
      </w:r>
    </w:p>
    <w:p w:rsidR="00854760" w:rsidRDefault="00000000">
      <w:pPr>
        <w:widowControl w:val="0"/>
        <w:topLinePunct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:rsidR="00854760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由植物学学科组织，依据</w:t>
      </w:r>
      <w:r>
        <w:rPr>
          <w:rFonts w:ascii="Times New Roman" w:hAnsi="Times New Roman" w:hint="eastAsia"/>
          <w:szCs w:val="21"/>
          <w:lang w:eastAsia="zh-CN"/>
        </w:rPr>
        <w:t>《南开大学研究生资格考试、开题报告及中期考核管理指导意见（试行）》</w:t>
      </w:r>
      <w:r>
        <w:rPr>
          <w:rFonts w:ascii="Times New Roman" w:hAnsi="Times New Roman"/>
          <w:szCs w:val="21"/>
          <w:lang w:eastAsia="zh-CN"/>
        </w:rPr>
        <w:t>执行。</w:t>
      </w:r>
    </w:p>
    <w:p w:rsidR="00854760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1. </w:t>
      </w:r>
      <w:r>
        <w:rPr>
          <w:rFonts w:ascii="Times New Roman" w:hAnsi="Times New Roman"/>
          <w:szCs w:val="21"/>
          <w:lang w:eastAsia="zh-CN"/>
        </w:rPr>
        <w:t>开题报告</w:t>
      </w:r>
    </w:p>
    <w:p w:rsidR="00854760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硕士研究生的开题报告一般在第二学期进行。</w:t>
      </w:r>
    </w:p>
    <w:p w:rsidR="00854760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2. </w:t>
      </w:r>
      <w:r>
        <w:rPr>
          <w:rFonts w:ascii="Times New Roman" w:hAnsi="Times New Roman"/>
          <w:szCs w:val="21"/>
          <w:lang w:eastAsia="zh-CN"/>
        </w:rPr>
        <w:t>中期考核</w:t>
      </w:r>
    </w:p>
    <w:p w:rsidR="00854760" w:rsidRDefault="00000000">
      <w:pPr>
        <w:widowControl w:val="0"/>
        <w:topLinePunct/>
        <w:ind w:leftChars="200" w:left="44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硕士研究生的中期考核一般在第三学期末进行。</w:t>
      </w:r>
    </w:p>
    <w:p w:rsidR="00854760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:rsidR="00854760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详见《生命科学学院学术型硕士毕业答辩及申请学位的实施细则》。</w:t>
      </w:r>
    </w:p>
    <w:p w:rsidR="00854760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:rsidR="00854760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论文基本要求</w:t>
      </w:r>
    </w:p>
    <w:p w:rsidR="00854760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硕士研究生需在导师指导下，完成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lang w:eastAsia="zh-CN"/>
        </w:rPr>
        <w:t>万字左右的学位论文。论文写作要求详见《南开大学研究生学位论文写作规范（</w:t>
      </w:r>
      <w:r>
        <w:rPr>
          <w:rFonts w:ascii="Times New Roman" w:hAnsi="Times New Roman"/>
          <w:lang w:eastAsia="zh-CN"/>
        </w:rPr>
        <w:t>202</w:t>
      </w:r>
      <w:r w:rsidR="008022AA">
        <w:rPr>
          <w:rFonts w:ascii="Times New Roman" w:hAnsi="Times New Roman" w:hint="eastAsia"/>
          <w:lang w:eastAsia="zh-CN"/>
        </w:rPr>
        <w:t>5</w:t>
      </w:r>
      <w:r>
        <w:rPr>
          <w:rFonts w:ascii="Times New Roman" w:hAnsi="Times New Roman"/>
          <w:lang w:eastAsia="zh-CN"/>
        </w:rPr>
        <w:t>版）》。</w:t>
      </w:r>
    </w:p>
    <w:p w:rsidR="00854760" w:rsidRDefault="00000000">
      <w:pPr>
        <w:widowControl w:val="0"/>
        <w:topLinePunct/>
        <w:ind w:left="45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论文评阅</w:t>
      </w:r>
    </w:p>
    <w:p w:rsidR="00854760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硕士研究生的学位论文在获得导师认可且论文查重率低于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的情况下，由学院教学培养办公室通过</w:t>
      </w:r>
      <w:r>
        <w:rPr>
          <w:rFonts w:ascii="Times New Roman" w:hAnsi="Times New Roman" w:hint="eastAsia"/>
          <w:lang w:eastAsia="zh-CN"/>
        </w:rPr>
        <w:t>“</w:t>
      </w:r>
      <w:r>
        <w:rPr>
          <w:rFonts w:ascii="Times New Roman" w:hAnsi="Times New Roman"/>
          <w:lang w:eastAsia="zh-CN"/>
        </w:rPr>
        <w:t>教育部学位与研究生教育评估平台</w:t>
      </w:r>
      <w:r>
        <w:rPr>
          <w:rFonts w:ascii="Times New Roman" w:hAnsi="Times New Roman" w:hint="eastAsia"/>
          <w:lang w:eastAsia="zh-CN"/>
        </w:rPr>
        <w:t>”</w:t>
      </w:r>
      <w:r>
        <w:rPr>
          <w:rFonts w:ascii="Times New Roman" w:hAnsi="Times New Roman"/>
          <w:lang w:eastAsia="zh-CN"/>
        </w:rPr>
        <w:t>进行双盲评审，每份论文送至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lang w:eastAsia="zh-CN"/>
        </w:rPr>
        <w:t>位平台专家审核（上半年为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lang w:eastAsia="zh-CN"/>
        </w:rPr>
        <w:t>月上旬，下半年为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lang w:eastAsia="zh-CN"/>
        </w:rPr>
        <w:t>月上旬，具体日期视当年安排）；如果硕士生论文查重率高于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，经导师及学位评定分委员会专家审查，决定是否继续进行答辩流程。</w:t>
      </w:r>
    </w:p>
    <w:p w:rsidR="00854760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 w:rsidR="0070173C" w:rsidRPr="0070173C">
        <w:rPr>
          <w:rFonts w:ascii="Times New Roman" w:hAnsi="Times New Roman" w:hint="eastAsia"/>
          <w:lang w:eastAsia="zh-CN"/>
        </w:rPr>
        <w:t xml:space="preserve"> </w:t>
      </w:r>
      <w:r w:rsidR="0070173C">
        <w:rPr>
          <w:rFonts w:ascii="Times New Roman" w:hAnsi="Times New Roman" w:hint="eastAsia"/>
          <w:lang w:eastAsia="zh-CN"/>
        </w:rPr>
        <w:t>《</w:t>
      </w:r>
      <w:r w:rsidR="0070173C" w:rsidRPr="0070173C">
        <w:rPr>
          <w:rFonts w:ascii="Times New Roman" w:hAnsi="Times New Roman" w:hint="eastAsia"/>
          <w:lang w:eastAsia="zh-CN"/>
        </w:rPr>
        <w:t>南研字〔</w:t>
      </w:r>
      <w:r w:rsidR="0070173C" w:rsidRPr="0070173C">
        <w:rPr>
          <w:rFonts w:ascii="Times New Roman" w:hAnsi="Times New Roman" w:hint="eastAsia"/>
          <w:lang w:eastAsia="zh-CN"/>
        </w:rPr>
        <w:t>2025</w:t>
      </w:r>
      <w:r w:rsidR="0070173C" w:rsidRPr="0070173C">
        <w:rPr>
          <w:rFonts w:ascii="Times New Roman" w:hAnsi="Times New Roman" w:hint="eastAsia"/>
          <w:lang w:eastAsia="zh-CN"/>
        </w:rPr>
        <w:t>〕</w:t>
      </w:r>
      <w:r w:rsidR="0070173C" w:rsidRPr="0070173C">
        <w:rPr>
          <w:rFonts w:ascii="Times New Roman" w:hAnsi="Times New Roman" w:hint="eastAsia"/>
          <w:lang w:eastAsia="zh-CN"/>
        </w:rPr>
        <w:t>2</w:t>
      </w:r>
      <w:r w:rsidR="0070173C" w:rsidRPr="0070173C">
        <w:rPr>
          <w:rFonts w:ascii="Times New Roman" w:hAnsi="Times New Roman" w:hint="eastAsia"/>
          <w:lang w:eastAsia="zh-CN"/>
        </w:rPr>
        <w:t>号</w:t>
      </w:r>
      <w:r w:rsidR="0070173C" w:rsidRPr="0070173C">
        <w:rPr>
          <w:rFonts w:ascii="Times New Roman" w:hAnsi="Times New Roman" w:hint="eastAsia"/>
          <w:lang w:eastAsia="zh-CN"/>
        </w:rPr>
        <w:t xml:space="preserve"> </w:t>
      </w:r>
      <w:r w:rsidR="0070173C" w:rsidRPr="0070173C">
        <w:rPr>
          <w:rFonts w:ascii="Times New Roman" w:hAnsi="Times New Roman" w:hint="eastAsia"/>
          <w:lang w:eastAsia="zh-CN"/>
        </w:rPr>
        <w:t>南开大学硕士学位论文及实践成果评审工作实施办法</w:t>
      </w:r>
      <w:r w:rsidR="0070173C">
        <w:rPr>
          <w:rFonts w:ascii="Times New Roman" w:hAnsi="Times New Roman" w:hint="eastAsia"/>
          <w:lang w:eastAsia="zh-CN"/>
        </w:rPr>
        <w:t>》</w:t>
      </w:r>
      <w:r>
        <w:rPr>
          <w:rFonts w:ascii="Times New Roman" w:hAnsi="Times New Roman"/>
          <w:lang w:eastAsia="zh-CN"/>
        </w:rPr>
        <w:t>。</w:t>
      </w:r>
    </w:p>
    <w:p w:rsidR="00854760" w:rsidRDefault="00000000">
      <w:pPr>
        <w:widowControl w:val="0"/>
        <w:topLinePunct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lang w:eastAsia="zh-CN"/>
        </w:rPr>
        <w:t>论文答辩</w:t>
      </w:r>
    </w:p>
    <w:p w:rsidR="00854760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硕士研究生根据评审专家评阅意见修改论文后进行答辩，要求详见《生命科学学院学术型硕士毕业答辩及申请学位的实施细则》。</w:t>
      </w:r>
    </w:p>
    <w:p w:rsidR="00854760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4. </w:t>
      </w:r>
      <w:r>
        <w:rPr>
          <w:rFonts w:ascii="Times New Roman" w:hAnsi="Times New Roman"/>
          <w:szCs w:val="21"/>
          <w:lang w:eastAsia="zh-CN"/>
        </w:rPr>
        <w:t>二次查重</w:t>
      </w:r>
    </w:p>
    <w:p w:rsidR="00854760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硕士研究生根据答辩委员会意见修改论文后，提交研究生院进行二次查重，查重率应低于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p w:rsidR="00854760" w:rsidRDefault="00854760">
      <w:pPr>
        <w:rPr>
          <w:rFonts w:ascii="Times New Roman" w:hAnsi="Times New Roman"/>
          <w:lang w:eastAsia="zh-CN"/>
        </w:rPr>
      </w:pPr>
    </w:p>
    <w:p w:rsidR="00854760" w:rsidRDefault="00854760">
      <w:pPr>
        <w:rPr>
          <w:rFonts w:ascii="Times New Roman" w:hAnsi="Times New Roman"/>
          <w:lang w:eastAsia="zh-CN"/>
        </w:rPr>
      </w:pPr>
    </w:p>
    <w:p w:rsidR="00854760" w:rsidRDefault="00854760">
      <w:pPr>
        <w:rPr>
          <w:rFonts w:ascii="Times New Roman" w:hAnsi="Times New Roman"/>
          <w:lang w:eastAsia="zh-CN"/>
        </w:rPr>
      </w:pPr>
    </w:p>
    <w:p w:rsidR="00854760" w:rsidRDefault="00854760">
      <w:pPr>
        <w:rPr>
          <w:rFonts w:ascii="Times New Roman" w:hAnsi="Times New Roman"/>
          <w:lang w:eastAsia="zh-CN"/>
        </w:rPr>
      </w:pPr>
    </w:p>
    <w:p w:rsidR="00854760" w:rsidRDefault="00854760">
      <w:pPr>
        <w:rPr>
          <w:rFonts w:ascii="Times New Roman" w:hAnsi="Times New Roman"/>
          <w:lang w:eastAsia="zh-CN"/>
        </w:rPr>
      </w:pPr>
    </w:p>
    <w:p w:rsidR="00854760" w:rsidRDefault="00854760">
      <w:pPr>
        <w:rPr>
          <w:lang w:eastAsia="zh-CN"/>
        </w:rPr>
      </w:pPr>
    </w:p>
    <w:sectPr w:rsidR="008547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94F2B" w:rsidRDefault="00E94F2B">
      <w:pPr>
        <w:spacing w:line="240" w:lineRule="auto"/>
      </w:pPr>
      <w:r>
        <w:separator/>
      </w:r>
    </w:p>
  </w:endnote>
  <w:endnote w:type="continuationSeparator" w:id="0">
    <w:p w:rsidR="00E94F2B" w:rsidRDefault="00E94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94F2B" w:rsidRDefault="00E94F2B">
      <w:pPr>
        <w:spacing w:after="0"/>
      </w:pPr>
      <w:r>
        <w:separator/>
      </w:r>
    </w:p>
  </w:footnote>
  <w:footnote w:type="continuationSeparator" w:id="0">
    <w:p w:rsidR="00E94F2B" w:rsidRDefault="00E94F2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916"/>
    <w:rsid w:val="00177916"/>
    <w:rsid w:val="001F4951"/>
    <w:rsid w:val="0070173C"/>
    <w:rsid w:val="008022AA"/>
    <w:rsid w:val="00820951"/>
    <w:rsid w:val="00854760"/>
    <w:rsid w:val="00895DBA"/>
    <w:rsid w:val="00AC0981"/>
    <w:rsid w:val="00AE05DA"/>
    <w:rsid w:val="00C2076E"/>
    <w:rsid w:val="00CB47DE"/>
    <w:rsid w:val="00D84370"/>
    <w:rsid w:val="00E94F2B"/>
    <w:rsid w:val="00F3508B"/>
    <w:rsid w:val="00F520C5"/>
    <w:rsid w:val="317F0257"/>
    <w:rsid w:val="56D11643"/>
    <w:rsid w:val="643440F9"/>
    <w:rsid w:val="6E894155"/>
    <w:rsid w:val="7970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DE20C05"/>
  <w15:docId w15:val="{C3832840-1B0F-D345-A31E-5F97855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360" w:lineRule="auto"/>
      <w:ind w:firstLine="425"/>
    </w:pPr>
    <w:rPr>
      <w:rFonts w:ascii="Cambria" w:hAnsi="Cambr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4">
    <w:name w:val="heading 4"/>
    <w:basedOn w:val="a"/>
    <w:next w:val="a"/>
    <w:unhideWhenUsed/>
    <w:qFormat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a7">
    <w:name w:val="—样式 正文（正在使用）"/>
    <w:basedOn w:val="a"/>
    <w:link w:val="a8"/>
    <w:qFormat/>
    <w:pPr>
      <w:ind w:firstLineChars="200" w:firstLine="420"/>
    </w:pPr>
    <w:rPr>
      <w:rFonts w:cs="宋体"/>
      <w:color w:val="000000"/>
      <w:szCs w:val="20"/>
    </w:rPr>
  </w:style>
  <w:style w:type="character" w:customStyle="1" w:styleId="a8">
    <w:name w:val="—样式 正文（正在使用） 字符"/>
    <w:link w:val="a7"/>
    <w:qFormat/>
    <w:rPr>
      <w:rFonts w:cs="宋体"/>
      <w:color w:val="000000"/>
      <w:szCs w:val="20"/>
    </w:rPr>
  </w:style>
  <w:style w:type="character" w:customStyle="1" w:styleId="a6">
    <w:name w:val="页眉 字符"/>
    <w:basedOn w:val="a0"/>
    <w:link w:val="a5"/>
    <w:qFormat/>
    <w:rPr>
      <w:rFonts w:ascii="Cambria" w:hAnsi="Cambria"/>
      <w:sz w:val="18"/>
      <w:szCs w:val="18"/>
      <w:lang w:eastAsia="en-US"/>
    </w:rPr>
  </w:style>
  <w:style w:type="character" w:customStyle="1" w:styleId="a4">
    <w:name w:val="页脚 字符"/>
    <w:basedOn w:val="a0"/>
    <w:link w:val="a3"/>
    <w:qFormat/>
    <w:rPr>
      <w:rFonts w:ascii="Cambria" w:hAnsi="Cambri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syyyyyy的ipad</dc:creator>
  <cp:lastModifiedBy>child lee</cp:lastModifiedBy>
  <cp:revision>5</cp:revision>
  <dcterms:created xsi:type="dcterms:W3CDTF">2025-07-18T02:32:00Z</dcterms:created>
  <dcterms:modified xsi:type="dcterms:W3CDTF">2025-09-03T10:07:00Z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DB0B18EB2D440A30405F00689D90F5D5_31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