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right="112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附件二：</w:t>
      </w:r>
    </w:p>
    <w:p>
      <w:pPr>
        <w:jc w:val="center"/>
        <w:rPr>
          <w:rFonts w:ascii="黑体" w:hAnsi="黑体" w:eastAsia="黑体" w:cs="Times New Roman"/>
          <w:b/>
          <w:bCs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sz w:val="32"/>
          <w:szCs w:val="32"/>
        </w:rPr>
        <w:t>教案大赛评审标准</w:t>
      </w:r>
      <w:bookmarkStart w:id="0" w:name="_GoBack"/>
      <w:bookmarkEnd w:id="0"/>
    </w:p>
    <w:p>
      <w:pPr>
        <w:jc w:val="center"/>
        <w:rPr>
          <w:rFonts w:ascii="黑体" w:hAnsi="黑体" w:eastAsia="黑体" w:cs="Times New Roman"/>
          <w:sz w:val="24"/>
          <w:szCs w:val="24"/>
        </w:rPr>
      </w:pPr>
    </w:p>
    <w:tbl>
      <w:tblPr>
        <w:tblStyle w:val="4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3260"/>
        <w:gridCol w:w="992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内容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评分标准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单项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得分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项目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前期分析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教学目标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分析（1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目标阐述正确，具有可操作性、可评价性。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学情分析（5）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学习者的起点水平、动机、认知特点和学习风格等分析正确。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教学重、难点分析（1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教学重点、难点分析正确。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教学过程设计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65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分）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教学方法（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20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能突出重点、难点，符合学习者特征。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教学环节（2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教学情境创设有新意，正确体现目标，内容充实、适当，环节清晰，过渡自然，有效引导学习者参与,启发学习者思考，呈现方式合理。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教学媒体运用和资源开发（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媒体运用恰当，有利于教学的实施、目标的实现。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形成性评价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小结完整、精炼。课堂时间分配合理。教学反思分析有深度。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41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文档规范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(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10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分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内容（5）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内容完整，语言清晰、简洁，图表运用得当。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41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排版（5）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格式整齐、美观，布局合理。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8359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总分（1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00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）：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910915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zMjlkOWE0YmM3NmNlM2Q4NDQwZDE4NmMwZDQxMTYifQ=="/>
  </w:docVars>
  <w:rsids>
    <w:rsidRoot w:val="06895CD5"/>
    <w:rsid w:val="0689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等线"/>
      <w:color w:val="000000"/>
      <w:kern w:val="2"/>
      <w:sz w:val="21"/>
      <w:szCs w:val="21"/>
      <w:u w:color="00000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2022-10-19T09:17:00Z</dcterms:created>
  <dc:creator>Penina</dc:creator>
  <cp:lastModifiedBy>Penina</cp:lastModifiedBy>
  <dcterms:modified xsi:type="dcterms:W3CDTF">2022-10-19T09:18:24Z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080DE85D698946FC871C03297B75E5C6</vt:lpwstr>
  </property>
</Properties>
</file>