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68" w:rsidRPr="00126385" w:rsidRDefault="00CC1468" w:rsidP="00CC1468">
      <w:pPr>
        <w:autoSpaceDE w:val="0"/>
        <w:autoSpaceDN w:val="0"/>
        <w:adjustRightInd w:val="0"/>
        <w:spacing w:line="360" w:lineRule="auto"/>
        <w:jc w:val="center"/>
        <w:rPr>
          <w:rFonts w:asciiTheme="majorEastAsia" w:eastAsiaTheme="majorEastAsia" w:hAnsiTheme="majorEastAsia" w:cs="宋体-WinCharSetFFFF-H"/>
          <w:b/>
          <w:kern w:val="0"/>
          <w:sz w:val="32"/>
          <w:szCs w:val="32"/>
        </w:rPr>
      </w:pP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32"/>
        </w:rPr>
        <w:t>生科院本科生出国（境）交流学习</w:t>
      </w:r>
      <w:r w:rsid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32"/>
        </w:rPr>
        <w:t>学分</w:t>
      </w:r>
      <w:r w:rsidR="00126385">
        <w:rPr>
          <w:rFonts w:asciiTheme="majorEastAsia" w:eastAsiaTheme="majorEastAsia" w:hAnsiTheme="majorEastAsia" w:cs="宋体-WinCharSetFFFF-H"/>
          <w:b/>
          <w:kern w:val="0"/>
          <w:sz w:val="32"/>
          <w:szCs w:val="32"/>
        </w:rPr>
        <w:t>认定</w:t>
      </w: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32"/>
        </w:rPr>
        <w:t>相关规定</w:t>
      </w:r>
    </w:p>
    <w:p w:rsidR="00126385" w:rsidRDefault="00126385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</w:p>
    <w:p w:rsidR="00CC1468" w:rsidRPr="00126385" w:rsidRDefault="00CC1468" w:rsidP="00CC146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宋体-WinCharSetFFFF-H"/>
          <w:kern w:val="0"/>
          <w:sz w:val="28"/>
          <w:szCs w:val="24"/>
        </w:rPr>
      </w:pPr>
      <w:r w:rsidRPr="00126385"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 xml:space="preserve">1. </w:t>
      </w:r>
      <w:r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出国交流前：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①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学生登陆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南开大学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教务处主页，在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“教学研究”-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“常用表格”中下载《南开大学本科生校外学习交流课程认定申请审批表》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(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以下简称《课程认定申请审批表》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)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；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②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学生根据本专业人才的培养计划制定个人学习计划，并按审批</w:t>
      </w: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表要求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填写《课程认定申请审批表》，</w:t>
      </w: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由拟认定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课程任课教师审核签字（学生本人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须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携带外校学习课程教学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内容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或教学大纲前往任课教师处办理），由学校公共教学部认定校公共必修课（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A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类课），由学院教学办公室认定专业教学计划无对应生命科学类选修课（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D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类课）或任选课（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E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类课）；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③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《课程认定申请审批表》学生本人签字后，送学院教学办公室（生物站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A104-1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）报学院认定审批；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④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学生携《课程认定申请审批表》到教务处教学研究科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（南开大学八里台</w:t>
      </w:r>
      <w:r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办公楼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211）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审批。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注：《课程认定申请审批表》一式两份，离校前完成审核，教务处教学研究科和学生各留一份。</w:t>
      </w:r>
    </w:p>
    <w:p w:rsidR="00CC1468" w:rsidRPr="00126385" w:rsidRDefault="00CC1468" w:rsidP="0012638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宋体-WinCharSetFFFF-H"/>
          <w:kern w:val="0"/>
          <w:sz w:val="28"/>
          <w:szCs w:val="24"/>
        </w:rPr>
      </w:pPr>
      <w:r w:rsidRPr="00126385"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 xml:space="preserve">2. </w:t>
      </w:r>
      <w:r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交流</w:t>
      </w:r>
      <w:r w:rsidR="00126385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返校</w:t>
      </w:r>
      <w:r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后：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①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学生于交流</w:t>
      </w:r>
      <w:r w:rsidR="00126385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返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校后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1 </w:t>
      </w: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个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月内凭《课程认定申请审批表》及各种证明材料（外校真实成绩单原件、教学大纲及其他相关证明材料）到教务处教学研究科进行学分认定审核。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②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学生将《课程认定申请审批表》原件交学院教学办公室（生物站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A104-1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）。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注：离校前未认定、《课程认定申请审批表》中未认定、与认定不符的课程不予认定，由此导致的后果自负；未认定的课程必须按培养计划自行安排完成；在基本修业年限内完成有困难的可申请延长修业年限。</w:t>
      </w:r>
    </w:p>
    <w:p w:rsidR="00CC1468" w:rsidRPr="00126385" w:rsidRDefault="00126385" w:rsidP="0012638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</w:pPr>
      <w:r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>3</w:t>
      </w:r>
      <w:r w:rsidR="00CC1468" w:rsidRPr="00126385"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>.</w:t>
      </w:r>
      <w:r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 xml:space="preserve"> </w:t>
      </w:r>
      <w:proofErr w:type="gramStart"/>
      <w:r w:rsidR="00CC1468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退课</w:t>
      </w:r>
      <w:r w:rsidR="00CC1468" w:rsidRPr="00126385"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>操作</w:t>
      </w:r>
      <w:proofErr w:type="gramEnd"/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赴外交流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学生应在选课系统开放期间</w:t>
      </w: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进行退课操作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。将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赴外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交流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学习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阶段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lastRenderedPageBreak/>
        <w:t>系统默认选择的课程退掉；在选课系统关闭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后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未能及时退掉的课程，将以零分计，计入学生成绩册。</w:t>
      </w:r>
    </w:p>
    <w:p w:rsidR="00CC1468" w:rsidRPr="00126385" w:rsidRDefault="00126385" w:rsidP="00CC1468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</w:pPr>
      <w:r w:rsidRPr="00126385">
        <w:rPr>
          <w:rFonts w:asciiTheme="majorEastAsia" w:eastAsiaTheme="majorEastAsia" w:hAnsiTheme="majorEastAsia" w:cs="宋体-WinCharSetFFFF-H"/>
          <w:kern w:val="0"/>
          <w:sz w:val="28"/>
          <w:szCs w:val="24"/>
        </w:rPr>
        <w:t>4</w:t>
      </w:r>
      <w:r w:rsidR="00CC1468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.</w:t>
      </w:r>
      <w:r w:rsidR="00CC1468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学校、学院</w:t>
      </w:r>
      <w:proofErr w:type="gramStart"/>
      <w:r w:rsidR="00CC1468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推免文件</w:t>
      </w:r>
      <w:proofErr w:type="gramEnd"/>
      <w:r w:rsidR="00CC1468" w:rsidRPr="00126385">
        <w:rPr>
          <w:rFonts w:asciiTheme="majorEastAsia" w:eastAsiaTheme="majorEastAsia" w:hAnsiTheme="majorEastAsia" w:cs="宋体-WinCharSetFFFF-H" w:hint="eastAsia"/>
          <w:kern w:val="0"/>
          <w:sz w:val="28"/>
          <w:szCs w:val="24"/>
        </w:rPr>
        <w:t>相关规定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南发字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[2015]113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号文件和生科</w:t>
      </w: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院推免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细则规定：</w:t>
      </w:r>
    </w:p>
    <w:p w:rsid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proofErr w:type="gramStart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申请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推免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的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学生，原则上应该按照正常教学计划安排，修满前三学年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ABC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类必修课程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学分数（包括赴外</w:t>
      </w:r>
      <w:r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交流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认定</w:t>
      </w:r>
      <w:r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课程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）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。</w:t>
      </w:r>
    </w:p>
    <w:p w:rsidR="00CC1468" w:rsidRPr="00CC1468" w:rsidRDefault="00CC1468" w:rsidP="00CC1468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宋体-WinCharSetFFFF-H"/>
          <w:kern w:val="0"/>
          <w:sz w:val="24"/>
          <w:szCs w:val="24"/>
        </w:rPr>
      </w:pP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注：学生本人应慎重制定个人出国（境）学习计划，因出国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交流学习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导致未按正常教学计划修满前三学年</w:t>
      </w:r>
      <w:r w:rsidRPr="00CC1468"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 xml:space="preserve">ABC 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类必修课程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学分</w:t>
      </w:r>
      <w:proofErr w:type="gramStart"/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数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失去推免</w:t>
      </w:r>
      <w:proofErr w:type="gramEnd"/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资格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的，一切</w:t>
      </w:r>
      <w:r>
        <w:rPr>
          <w:rFonts w:asciiTheme="majorEastAsia" w:eastAsiaTheme="majorEastAsia" w:hAnsiTheme="majorEastAsia" w:cs="宋体-WinCharSetFFFF-H"/>
          <w:kern w:val="0"/>
          <w:sz w:val="24"/>
          <w:szCs w:val="24"/>
        </w:rPr>
        <w:t>后果由学生本人</w:t>
      </w:r>
      <w:r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承担</w:t>
      </w:r>
      <w:r w:rsidRPr="00CC1468">
        <w:rPr>
          <w:rFonts w:asciiTheme="majorEastAsia" w:eastAsiaTheme="majorEastAsia" w:hAnsiTheme="majorEastAsia" w:cs="宋体-WinCharSetFFFF-H" w:hint="eastAsia"/>
          <w:kern w:val="0"/>
          <w:sz w:val="24"/>
          <w:szCs w:val="24"/>
        </w:rPr>
        <w:t>。</w:t>
      </w:r>
    </w:p>
    <w:p w:rsidR="00126385" w:rsidRDefault="00126385" w:rsidP="00126385">
      <w:pPr>
        <w:autoSpaceDE w:val="0"/>
        <w:autoSpaceDN w:val="0"/>
        <w:adjustRightInd w:val="0"/>
        <w:spacing w:line="360" w:lineRule="auto"/>
        <w:ind w:firstLineChars="200" w:firstLine="482"/>
        <w:jc w:val="right"/>
        <w:rPr>
          <w:rFonts w:asciiTheme="majorEastAsia" w:eastAsiaTheme="majorEastAsia" w:hAnsiTheme="majorEastAsia" w:cs="宋体-WinCharSetFFFF-H"/>
          <w:b/>
          <w:kern w:val="0"/>
          <w:sz w:val="24"/>
          <w:szCs w:val="24"/>
        </w:rPr>
      </w:pPr>
    </w:p>
    <w:p w:rsidR="00CC1468" w:rsidRPr="00126385" w:rsidRDefault="00CC1468" w:rsidP="00126385">
      <w:pPr>
        <w:autoSpaceDE w:val="0"/>
        <w:autoSpaceDN w:val="0"/>
        <w:adjustRightInd w:val="0"/>
        <w:spacing w:line="360" w:lineRule="auto"/>
        <w:ind w:firstLineChars="200" w:firstLine="643"/>
        <w:jc w:val="right"/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</w:pP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>生命科学学院教学办公室</w:t>
      </w:r>
    </w:p>
    <w:p w:rsidR="00CC1468" w:rsidRPr="00126385" w:rsidRDefault="00CC1468" w:rsidP="00126385">
      <w:pPr>
        <w:autoSpaceDE w:val="0"/>
        <w:autoSpaceDN w:val="0"/>
        <w:adjustRightInd w:val="0"/>
        <w:spacing w:line="360" w:lineRule="auto"/>
        <w:ind w:firstLineChars="200" w:firstLine="643"/>
        <w:jc w:val="right"/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</w:pPr>
      <w:r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>201</w:t>
      </w:r>
      <w:r w:rsidR="00126385"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>7</w:t>
      </w:r>
      <w:r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 xml:space="preserve"> </w:t>
      </w: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>年</w:t>
      </w:r>
      <w:r w:rsidR="00126385"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 xml:space="preserve"> </w:t>
      </w:r>
      <w:r w:rsidR="00126385"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>11</w:t>
      </w:r>
      <w:r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 xml:space="preserve"> </w:t>
      </w: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>月</w:t>
      </w:r>
      <w:r w:rsidR="00126385"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 xml:space="preserve"> </w:t>
      </w:r>
      <w:r w:rsidR="00A65BF0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>1</w:t>
      </w:r>
      <w:bookmarkStart w:id="0" w:name="_GoBack"/>
      <w:bookmarkEnd w:id="0"/>
      <w:r w:rsidRPr="00126385">
        <w:rPr>
          <w:rFonts w:asciiTheme="majorEastAsia" w:eastAsiaTheme="majorEastAsia" w:hAnsiTheme="majorEastAsia" w:cs="宋体-WinCharSetFFFF-H"/>
          <w:b/>
          <w:kern w:val="0"/>
          <w:sz w:val="32"/>
          <w:szCs w:val="24"/>
        </w:rPr>
        <w:t xml:space="preserve"> </w:t>
      </w:r>
      <w:r w:rsidRPr="00126385">
        <w:rPr>
          <w:rFonts w:asciiTheme="majorEastAsia" w:eastAsiaTheme="majorEastAsia" w:hAnsiTheme="majorEastAsia" w:cs="宋体-WinCharSetFFFF-H" w:hint="eastAsia"/>
          <w:b/>
          <w:kern w:val="0"/>
          <w:sz w:val="32"/>
          <w:szCs w:val="24"/>
        </w:rPr>
        <w:t>日修订</w:t>
      </w:r>
    </w:p>
    <w:p w:rsidR="009A0C25" w:rsidRPr="00CC1468" w:rsidRDefault="00A65BF0" w:rsidP="00CC1468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</w:p>
    <w:sectPr w:rsidR="009A0C25" w:rsidRPr="00CC1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WinCharSetFFFF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8"/>
    <w:rsid w:val="00126385"/>
    <w:rsid w:val="005D2C8F"/>
    <w:rsid w:val="0098545A"/>
    <w:rsid w:val="00A65BF0"/>
    <w:rsid w:val="00CC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58E919-F2C8-4A96-9D45-0BD0A40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</dc:creator>
  <cp:keywords/>
  <dc:description/>
  <cp:lastModifiedBy>wangj</cp:lastModifiedBy>
  <cp:revision>2</cp:revision>
  <dcterms:created xsi:type="dcterms:W3CDTF">2017-11-02T03:24:00Z</dcterms:created>
  <dcterms:modified xsi:type="dcterms:W3CDTF">2017-11-02T03:53:00Z</dcterms:modified>
</cp:coreProperties>
</file>